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D7" w:rsidRPr="003F6AD7" w:rsidRDefault="003F6AD7" w:rsidP="003F6AD7">
      <w:pPr>
        <w:shd w:val="clear" w:color="auto" w:fill="FFFFFF"/>
        <w:spacing w:before="210" w:after="0" w:line="45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435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Письмо Минздрава России </w:t>
      </w:r>
      <w:r w:rsidRPr="00A435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№</w:t>
      </w:r>
      <w:r w:rsidRPr="003F6AD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25-4/И/2-2643</w:t>
      </w:r>
      <w:r w:rsidRPr="00A435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F6AD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18</w:t>
      </w:r>
      <w:r w:rsidRPr="00A435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.02.</w:t>
      </w:r>
      <w:r w:rsidRPr="003F6AD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2022 </w:t>
      </w:r>
      <w:hyperlink r:id="rId4" w:history="1">
        <w:r w:rsidR="00A4351D" w:rsidRPr="00A4351D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«</w:t>
        </w:r>
        <w:r w:rsidR="00A4351D" w:rsidRPr="00A4351D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О продаже лекарственных препаратов</w:t>
        </w:r>
        <w:r w:rsidR="00A4351D" w:rsidRPr="00A4351D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»</w:t>
        </w:r>
      </w:hyperlink>
      <w:r w:rsidRPr="003F6A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3F6AD7" w:rsidRPr="003F6AD7" w:rsidRDefault="003F6AD7" w:rsidP="003F6AD7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6A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Министерство здравоохранения Российской Федерации в связи с вступлением в силу с 01.03.2022 </w:t>
      </w:r>
      <w:r w:rsidRPr="003F6AD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приказа</w:t>
      </w:r>
      <w:r w:rsidRPr="003F6A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Минздрава России от 24.11.2021 N 1093н "Об утверждении Правил отпуска лекарственных препаратов для медицинского применения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организации, а также Правил отпуска наркотических средств и психотропных веществ, зарегистрированных в качестве лекарственных препаратов для медицинского применения, лекарственных препаратов для медицинского применения, содержащих наркотические средства и психотропные вещества, в том числе Порядка отпуска аптечными организациями иммунобиологических лекарственных препаратов" (зарегистрировано в Минюсте России 30.11.2021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</w:t>
      </w:r>
      <w:r w:rsidRPr="003F6A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66142, срок действия документа ограничен 01.03.2028) (далее - Приказ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</w:t>
      </w:r>
      <w:r w:rsidRPr="003F6A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1093н), сообщает следующее.</w:t>
      </w:r>
    </w:p>
    <w:p w:rsidR="003F6AD7" w:rsidRPr="003F6AD7" w:rsidRDefault="003F6AD7" w:rsidP="003F6AD7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6A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Согласно </w:t>
      </w:r>
      <w:r w:rsidRPr="003F6AD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подпункту 1 пункта 1 статьи 46 </w:t>
      </w:r>
      <w:r w:rsidRPr="003F6A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Федерального закона от 12.04.2010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</w:t>
      </w:r>
      <w:r w:rsidRPr="003F6A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61-ФЗ "Об обращении лекарственных средств" (далее - Федеральный закон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</w:t>
      </w:r>
      <w:r w:rsidRPr="003F6A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61-ФЗ) лекарственные препараты, за исключением лекарственных препаратов, изготовленных аптечными организациями, ветеринарными аптечными организациями, индивидуальными предпринимателями, имеющими лицензию на фармацевтическую деятельность, должны поступать в обращение, если: на их первичной упаковке (за исключением первичной упаковки лекарственных растительных препаратов) хорошо читаемым шрифтом на русском языке указаны наименование лекарственного препарата (международное непатентованное, или </w:t>
      </w:r>
      <w:proofErr w:type="spellStart"/>
      <w:r w:rsidRPr="003F6A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группировочное</w:t>
      </w:r>
      <w:proofErr w:type="spellEnd"/>
      <w:r w:rsidRPr="003F6A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или химическое, или торговое наименование), номер серии, дата выпуска (для иммунобиологических лекарственных препаратов), срок годности, дозировка или концентрация, объем, активность в единицах действия или количество доз.</w:t>
      </w:r>
    </w:p>
    <w:p w:rsidR="003F6AD7" w:rsidRPr="003F6AD7" w:rsidRDefault="003F6AD7" w:rsidP="003F6AD7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6A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 соответствии с </w:t>
      </w:r>
      <w:r w:rsidRPr="003F6AD7"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пунктом 14 </w:t>
      </w:r>
      <w:r w:rsidRPr="003F6A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Приказа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</w:t>
      </w:r>
      <w:r w:rsidRPr="003F6A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1093н, отпуск лекарственного препарата осуществляется в первичной и вторичной (потребительской) упаковках, маркировка которых должна отвечать требованиям </w:t>
      </w:r>
      <w:r w:rsidRPr="003F6AD7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статьи 46</w:t>
      </w:r>
      <w:r w:rsidRPr="003F6A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Федерального закона N 61-ФЗ, а упаковка наркотических и психотропных лекарственных препаратов </w:t>
      </w:r>
      <w:r w:rsidRPr="003F6AD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списка II</w:t>
      </w:r>
      <w:r w:rsidRPr="003F6A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- требованиям </w:t>
      </w:r>
      <w:r w:rsidRPr="003F6AD7"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пункта 3 статьи 27</w:t>
      </w:r>
      <w:r w:rsidRPr="003F6A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Федерального закона от 08.01.1998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№ </w:t>
      </w:r>
      <w:r w:rsidRPr="003F6A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3-ФЗ "О наркотических средствах и психотропных веществах" (первичные упаковки и вторичные (потребительские) упаковки наркотических средств, психотропных веществ, внесенных в </w:t>
      </w:r>
      <w:r w:rsidRPr="003F6AD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 II</w:t>
      </w:r>
      <w:r w:rsidRPr="003F6A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 используемых в медицинских целях и (или) в ветеринарии, должны быть помечены двойной красной полосой).</w:t>
      </w:r>
    </w:p>
    <w:p w:rsidR="003F6AD7" w:rsidRPr="003F6AD7" w:rsidRDefault="003F6AD7" w:rsidP="003F6AD7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6AD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Приказом</w:t>
      </w:r>
      <w:r w:rsidRPr="003F6A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</w:t>
      </w:r>
      <w:r w:rsidRPr="003F6A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1093н не установлен запрет на деление вторичной упаковки при отпуске лекарственных препаратов.</w:t>
      </w:r>
    </w:p>
    <w:p w:rsidR="003F6AD7" w:rsidRPr="003F6AD7" w:rsidRDefault="003F6AD7" w:rsidP="003F6AD7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6A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Согласно </w:t>
      </w:r>
      <w:r w:rsidRPr="003F6AD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Положению</w:t>
      </w:r>
      <w:r w:rsidRPr="003F6A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о системе мониторинга движения лекарственных препаратов для медицинского применения, утвержденному постановлением Правительства Российской Федерации от 14.12.2018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</w:t>
      </w:r>
      <w:r w:rsidRPr="003F6A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1556 "Об утверждении Положения о системе мониторинга движения лекарственных препаратов для медицинского применения" (далее - постановление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</w:t>
      </w:r>
      <w:r w:rsidRPr="003F6A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1556), эмитент средств идентификации после получения кода маркировки обеспечивает его преобразование в средство идентификации, нанесение средства идентификации на вторичную (потребительскую) упаковку лекарственного препарата (а при ее отсутствии - на первичную упаковку лекарственного препарата) или на материальный носитель (этикетку) и передает в систему мониторинга сведения о нанесении средства идентификации.</w:t>
      </w:r>
    </w:p>
    <w:p w:rsidR="003F6AD7" w:rsidRPr="003F6AD7" w:rsidRDefault="003F6AD7" w:rsidP="003F6AD7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6A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Федеральной государственной информационной системой мониторинга движения лекарственных препаратов от производителя до конечного потребителя с использованием маркировки (далее - ФГИС МДЛП), утвержденной </w:t>
      </w:r>
      <w:r w:rsidRPr="003F6AD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приказом </w:t>
      </w:r>
      <w:r w:rsidRPr="003F6A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Минздрава России от 30.11.2015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</w:t>
      </w:r>
      <w:r w:rsidRPr="003F6A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866 "Об утверждении Концепции создания Федеральной государственной информационной системы мониторинга движения лекарственных препаратов от производителя до конечного потребителя с использованием маркировки", реализована функциональность по фиксированию сведений о частичном выводе из оборота лекарственных препаратов субъектами обращения лекарственных средств.</w:t>
      </w:r>
    </w:p>
    <w:p w:rsidR="003F6AD7" w:rsidRPr="003F6AD7" w:rsidRDefault="003F6AD7" w:rsidP="003F6AD7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6A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Порядок действий субъектов обращения лекарственных средств при частичном выводе из оборота лекарственного препарата описан в </w:t>
      </w:r>
      <w:r w:rsidRPr="003F6A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документе "Инструкции по представлению сведений субъектами обращения лекарственных средств в систему мониторинга движения лекарственных препаратов для медицинского применения, версия 1.37" (далее - Инструкция):</w:t>
      </w:r>
    </w:p>
    <w:p w:rsidR="003F6AD7" w:rsidRPr="003F6AD7" w:rsidRDefault="003F6AD7" w:rsidP="003F6AD7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6A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 осуществления частичной продажи лекарственного препарата в кассовом чеке отражается количество продаваемых первичных упаковок и общее количество первичных упаковок во вторичной (потребительской) упаковке согласно комплектности (раздел 5.1 "Продажа ЛП в рамках розничной торговли" Инструкции);</w:t>
      </w:r>
    </w:p>
    <w:p w:rsidR="003F6AD7" w:rsidRPr="003F6AD7" w:rsidRDefault="003F6AD7" w:rsidP="003F6AD7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6A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 осуществления частичного отпуска лекарственного препарата бесплатно по рецепту на лекарственные препараты при передаче сведений в ФГИС МДЛП субъектом обращения должно быть указано количество отпускаемых первичных упаковок и общее количество первичных упаковок во вторичной (потребительской) упаковке согласно комплектности (раздел 5.2 "Отпуск ЛП по льготному рецепту" Инструкции);</w:t>
      </w:r>
    </w:p>
    <w:p w:rsidR="003F6AD7" w:rsidRPr="003F6AD7" w:rsidRDefault="003F6AD7" w:rsidP="003F6AD7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6A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 осуществления частичной выдачи лекарственного препарата в рамках оказания медицинской помощи при передаче сведений в ФГИС МДЛП субъектом обращения лекарственных средств должно быть указано количество отпускаемых первичных упаковок и общее количество первичных упаковок во вторичной (потребительской) упаковке согласно комплектности (раздел 5.3 "Отпуск ЛП для медицинского применения" Инструкции).</w:t>
      </w:r>
    </w:p>
    <w:p w:rsidR="003F6AD7" w:rsidRPr="003F6AD7" w:rsidRDefault="003F6AD7" w:rsidP="003F6AD7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6A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Списание разукомплектованной вторичной упаковки допускается только для лекарственного препарата, в отношении которого ранее зарегистрирована операция частичного вывода из оборота (розничной продажи, отпуска бесплатно или со скидкой по рецепту на лекарственные препараты, выдачи для медицинского применения).</w:t>
      </w:r>
    </w:p>
    <w:p w:rsidR="003F6AD7" w:rsidRPr="003F6AD7" w:rsidRDefault="003F6AD7" w:rsidP="003F6AD7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6A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Сведения о частичном выводе из оборота лекарственных препаратов доступны в реестре SGTIN автоматизированного рабочего места контролирующего органа (далее - АРМ КО) с предварительным выбором следующих статусов: "частично выдан для медицинского применения", "частично выдан по документам", частично выдан по документам, остаток списан", "частично отпущен по льготному рецепту", "частично продан в розницу", "частично списан", "частичное медицинское применение, остаток списан", "частичный отпуск по ЛР, остаток списан".</w:t>
      </w:r>
    </w:p>
    <w:p w:rsidR="003F6AD7" w:rsidRPr="003F6AD7" w:rsidRDefault="003F6AD7" w:rsidP="003F6AD7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6A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При выборе вышеперечисленных статусов в реестре SGTIN АРМ КО отражается суммарная доля выведенных из оборота лекарственных препаратов и суммарно списанная доля лекарственного препарата.</w:t>
      </w:r>
    </w:p>
    <w:p w:rsidR="003F6AD7" w:rsidRPr="003F6AD7" w:rsidRDefault="003F6AD7" w:rsidP="003F6AD7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6A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Указанные сведения отображаются в системе мониторинга в случае корректной подачи сведений субъектами обращения лекарственных средств в систему мониторинга.</w:t>
      </w:r>
    </w:p>
    <w:p w:rsidR="003F6AD7" w:rsidRPr="003F6AD7" w:rsidRDefault="003F6AD7" w:rsidP="003F6AD7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6A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Учитывая изложенное, </w:t>
      </w:r>
      <w:bookmarkStart w:id="0" w:name="_GoBack"/>
      <w:r w:rsidRPr="003F6A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делении вторичной упаковки лекарственных препаратов следует руководствоваться вышеуказанными требованиями.</w:t>
      </w:r>
    </w:p>
    <w:bookmarkEnd w:id="0"/>
    <w:p w:rsidR="00A4351D" w:rsidRPr="00A4351D" w:rsidRDefault="00A4351D" w:rsidP="00A4351D">
      <w:pPr>
        <w:shd w:val="clear" w:color="auto" w:fill="FFFFFF"/>
        <w:spacing w:line="360" w:lineRule="atLeast"/>
        <w:ind w:firstLine="540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435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С.В.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435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лаголев</w:t>
      </w:r>
    </w:p>
    <w:p w:rsidR="00E344B4" w:rsidRDefault="00E344B4"/>
    <w:sectPr w:rsidR="00E3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D7"/>
    <w:rsid w:val="003F6AD7"/>
    <w:rsid w:val="00A4351D"/>
    <w:rsid w:val="00E3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FD07"/>
  <w15:chartTrackingRefBased/>
  <w15:docId w15:val="{0E554223-4E25-41B7-A3BE-9BC9BA03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5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5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A4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351D"/>
    <w:rPr>
      <w:color w:val="0000FF"/>
      <w:u w:val="single"/>
    </w:rPr>
  </w:style>
  <w:style w:type="paragraph" w:customStyle="1" w:styleId="alignright">
    <w:name w:val="align_right"/>
    <w:basedOn w:val="a"/>
    <w:rsid w:val="00A4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35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62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3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463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98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4100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Елена Александровна</dc:creator>
  <cp:keywords/>
  <dc:description/>
  <cp:lastModifiedBy>Сидорова Елена Александровна</cp:lastModifiedBy>
  <cp:revision>1</cp:revision>
  <dcterms:created xsi:type="dcterms:W3CDTF">2022-02-25T13:07:00Z</dcterms:created>
  <dcterms:modified xsi:type="dcterms:W3CDTF">2022-02-25T13:29:00Z</dcterms:modified>
</cp:coreProperties>
</file>